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597D" w14:textId="69146B6B" w:rsidR="007726A4" w:rsidRPr="00D829E9" w:rsidRDefault="00D829E9" w:rsidP="00B405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KZ"/>
        </w:rPr>
      </w:pPr>
      <w:r w:rsidRPr="007726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ЦИФРОВЫЕ РЕШЕНИЯ В ОЦЕНИВАНИИ ГРАМОТНОСТИ В ЯЗЫКОВОМ ОБРАЗОВАНИИ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KZ"/>
        </w:rPr>
        <w:t xml:space="preserve"> В РАМКАХ ПОВЫШЕНИЯ КВАЛИФИКАЦИИ</w:t>
      </w:r>
    </w:p>
    <w:p w14:paraId="36B1D63A" w14:textId="4CA3F61D" w:rsidR="004C7F2F" w:rsidRDefault="004C7F2F" w:rsidP="004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</w:p>
    <w:p w14:paraId="1D5A7CA7" w14:textId="7EDA9E70" w:rsidR="00D829E9" w:rsidRPr="00B405D8" w:rsidRDefault="00B405D8" w:rsidP="00D829E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kk-KZ" w:eastAsia="ru-KZ"/>
        </w:rPr>
      </w:pPr>
      <w:r w:rsidRPr="00B405D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kk-KZ" w:eastAsia="ru-KZ"/>
        </w:rPr>
        <w:t>Г</w:t>
      </w:r>
      <w:r w:rsidRPr="00B405D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ru-RU" w:eastAsia="ru-KZ"/>
        </w:rPr>
        <w:t>.</w:t>
      </w:r>
      <w:r w:rsidRPr="00B405D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kk-KZ" w:eastAsia="ru-KZ"/>
        </w:rPr>
        <w:t xml:space="preserve"> К</w:t>
      </w:r>
      <w:r w:rsidRPr="00B405D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ru-RU" w:eastAsia="ru-KZ"/>
        </w:rPr>
        <w:t>.</w:t>
      </w:r>
      <w:r w:rsidRPr="00B405D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ru-RU" w:eastAsia="ru-KZ"/>
        </w:rPr>
        <w:t xml:space="preserve"> </w:t>
      </w:r>
      <w:r w:rsidR="00D829E9" w:rsidRPr="00B405D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kk-KZ" w:eastAsia="ru-KZ"/>
        </w:rPr>
        <w:t>Алжанова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en-US" w:eastAsia="ru-KZ"/>
        </w:rPr>
        <w:t>,</w:t>
      </w:r>
      <w:r w:rsidR="00D829E9" w:rsidRPr="00B405D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kk-KZ" w:eastAsia="ru-KZ"/>
        </w:rPr>
        <w:t xml:space="preserve"> </w:t>
      </w:r>
    </w:p>
    <w:p w14:paraId="3BCF6105" w14:textId="77777777" w:rsidR="00D829E9" w:rsidRPr="00B405D8" w:rsidRDefault="00D829E9" w:rsidP="00D829E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</w:pPr>
      <w:r w:rsidRPr="00B405D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  <w:t xml:space="preserve">старший преподаватель </w:t>
      </w:r>
    </w:p>
    <w:p w14:paraId="601DA0A7" w14:textId="77777777" w:rsidR="00D829E9" w:rsidRPr="00B405D8" w:rsidRDefault="00D829E9" w:rsidP="00D829E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</w:pPr>
      <w:r w:rsidRPr="00B405D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  <w:t xml:space="preserve">кафедры обественно-гуманитарного направления </w:t>
      </w:r>
    </w:p>
    <w:p w14:paraId="4925818A" w14:textId="6BA9212C" w:rsidR="00D829E9" w:rsidRPr="00B405D8" w:rsidRDefault="00D829E9" w:rsidP="00D829E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</w:pPr>
      <w:r w:rsidRPr="00B405D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  <w:t>ФАО «НЦПК «Өрлеу» «ИПР по СКО»</w:t>
      </w:r>
    </w:p>
    <w:p w14:paraId="526A9483" w14:textId="77777777" w:rsidR="00D829E9" w:rsidRPr="00B405D8" w:rsidRDefault="00D829E9" w:rsidP="00D829E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kk-KZ" w:eastAsia="ru-KZ"/>
        </w:rPr>
      </w:pPr>
    </w:p>
    <w:p w14:paraId="0B94D750" w14:textId="64BB41AA" w:rsidR="00D829E9" w:rsidRPr="00B405D8" w:rsidRDefault="00B405D8" w:rsidP="00D829E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kk-KZ" w:eastAsia="ru-KZ"/>
        </w:rPr>
      </w:pPr>
      <w:r w:rsidRPr="00B405D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kk-KZ" w:eastAsia="ru-KZ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en-US" w:eastAsia="ru-KZ"/>
        </w:rPr>
        <w:t>.</w:t>
      </w:r>
      <w:r w:rsidRPr="00B405D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kk-KZ" w:eastAsia="ru-KZ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en-US" w:eastAsia="ru-KZ"/>
        </w:rPr>
        <w:t>.</w:t>
      </w:r>
      <w:r w:rsidR="00D829E9" w:rsidRPr="00B405D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kk-KZ" w:eastAsia="ru-KZ"/>
        </w:rPr>
        <w:t>Джаксалыкова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en-US" w:eastAsia="ru-KZ"/>
        </w:rPr>
        <w:t>.</w:t>
      </w:r>
      <w:r w:rsidR="00D829E9" w:rsidRPr="00B405D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kk-KZ" w:eastAsia="ru-KZ"/>
        </w:rPr>
        <w:t xml:space="preserve">, </w:t>
      </w:r>
    </w:p>
    <w:p w14:paraId="1A04264A" w14:textId="77777777" w:rsidR="00D829E9" w:rsidRPr="00B405D8" w:rsidRDefault="00D829E9" w:rsidP="00D829E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</w:pPr>
      <w:r w:rsidRPr="00B405D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  <w:t xml:space="preserve">старший преподаватель </w:t>
      </w:r>
    </w:p>
    <w:p w14:paraId="544F78F8" w14:textId="77777777" w:rsidR="00D829E9" w:rsidRPr="00B405D8" w:rsidRDefault="00D829E9" w:rsidP="00D829E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</w:pPr>
      <w:r w:rsidRPr="00B405D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  <w:t xml:space="preserve">кафедры обественно-гуманитарного направления </w:t>
      </w:r>
    </w:p>
    <w:p w14:paraId="060D69AF" w14:textId="2C3DA77F" w:rsidR="00D829E9" w:rsidRPr="00B405D8" w:rsidRDefault="00D829E9" w:rsidP="00D829E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</w:pPr>
      <w:r w:rsidRPr="00B405D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kk-KZ" w:eastAsia="ru-KZ"/>
        </w:rPr>
        <w:t>ФАО «НЦПК «Өрлеу» «ИПР по СКО»</w:t>
      </w:r>
    </w:p>
    <w:p w14:paraId="6F9D7138" w14:textId="77777777" w:rsidR="00D829E9" w:rsidRPr="00B405D8" w:rsidRDefault="00D829E9" w:rsidP="004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KZ"/>
        </w:rPr>
      </w:pPr>
    </w:p>
    <w:p w14:paraId="759AE946" w14:textId="5F74490F" w:rsidR="007726A4" w:rsidRPr="00B405D8" w:rsidRDefault="007726A4" w:rsidP="004C7F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</w:pPr>
      <w:r w:rsidRPr="00B405D8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Аннотация</w:t>
      </w:r>
    </w:p>
    <w:p w14:paraId="0B23A410" w14:textId="77777777" w:rsidR="004C7F2F" w:rsidRPr="007726A4" w:rsidRDefault="004C7F2F" w:rsidP="004C7F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</w:p>
    <w:p w14:paraId="52F40C9A" w14:textId="5736165B" w:rsidR="007726A4" w:rsidRPr="00B405D8" w:rsidRDefault="007726A4" w:rsidP="00B405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>В статье рассматриваются инновационные технологии и цифровые решения, применяемые в системе повышения квалификации педагогов для оценивания грамотности в языковом образовании. Авторы фокусируются на критериальном оценивании читательской, письменной и коммуникативной грамотности обучающихся с использованием цифровых инструментов. В основе статьи лежат результаты эмпирического исследования, проведённого среди учителей английского, русского и казахского языков — слушателей курсов повышения квалификации в</w:t>
      </w:r>
      <w:r w:rsidR="00095C99" w:rsidRPr="00B405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Северо-Казахстанской области</w:t>
      </w: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Республик</w:t>
      </w:r>
      <w:r w:rsidR="00095C99" w:rsidRPr="00B405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и</w:t>
      </w: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Казахстан. Результаты исследования демонстрируют, что внедрение цифровых инструментов оценивания способствует повышению объективности оценки образовательных результатов, развитию оценочной грамотности учителей и осознанному использованию данных обучения.</w:t>
      </w:r>
    </w:p>
    <w:p w14:paraId="11189C17" w14:textId="658B37D8" w:rsidR="007726A4" w:rsidRPr="00B405D8" w:rsidRDefault="007726A4" w:rsidP="00B405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405D8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Ключевые слова:</w:t>
      </w: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оценивание грамотности, языковое образование, цифровые технологии, </w:t>
      </w:r>
      <w:r w:rsidR="00D829E9" w:rsidRPr="00B405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критериальное</w:t>
      </w: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оценивание, образовательные результаты, повышение квалификации педагогов.</w:t>
      </w:r>
    </w:p>
    <w:p w14:paraId="170C508F" w14:textId="77777777" w:rsidR="004C7F2F" w:rsidRPr="007726A4" w:rsidRDefault="004C7F2F" w:rsidP="00B405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F68BCAC" w14:textId="77777777" w:rsidR="007726A4" w:rsidRPr="007726A4" w:rsidRDefault="007726A4" w:rsidP="00B405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Современное языковое образование развивается в условиях цифровой трансформации и обновления подходов к оцениванию образовательных результатов. Особое значение в этом контексте приобретает оценивание грамотности как интегративного показателя качества языковой подготовки обучающихся, включающего читательскую, письменную и коммуникативную составляющие. Традиционные формы контроля оказываются недостаточными </w:t>
      </w: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для выявления реального уровня сформированности языковых навыков, что актуализирует поиск инновационных технологий и цифровых решений.</w:t>
      </w:r>
    </w:p>
    <w:p w14:paraId="001AFE03" w14:textId="491340B9" w:rsidR="007726A4" w:rsidRPr="007726A4" w:rsidRDefault="007726A4" w:rsidP="00B405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Актуальность проблемы подтверждается стратегическими ориентирами развития образования в Республике Казахстан. В Послании Президента Республики Казахстан К</w:t>
      </w:r>
      <w:r w:rsidR="00D829E9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асым</w:t>
      </w: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-Ж</w:t>
      </w:r>
      <w:r w:rsidR="00D829E9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омарт</w:t>
      </w: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Токаева народу Казахстана подчёркивается необходимость цифровизации образовательной системы, развития функциональной грамотности и повышения профессионального уровня педагогов как ключевых условий конкурентоспособности страны в глобальном образовательном пространстве [1]. В этой связи особая роль отводится системе повышения квалификации педагогов, призванной формировать у учителей оценочную и цифровую грамотность.</w:t>
      </w:r>
    </w:p>
    <w:p w14:paraId="268F5F4E" w14:textId="77777777" w:rsidR="007726A4" w:rsidRPr="007726A4" w:rsidRDefault="007726A4" w:rsidP="00B405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Целью данной статьи является анализ возможностей инновационных технологий и цифровых решений в оценивании грамотности в языковом образовании, а также представление результатов эмпирического исследования, проведённого в системе повышения квалификации учителей языков.</w:t>
      </w:r>
    </w:p>
    <w:p w14:paraId="6547FF3D" w14:textId="77777777" w:rsidR="007726A4" w:rsidRPr="007726A4" w:rsidRDefault="007726A4" w:rsidP="00B405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Задачи исследования:</w:t>
      </w:r>
    </w:p>
    <w:p w14:paraId="1617AF77" w14:textId="77777777" w:rsidR="007726A4" w:rsidRPr="007726A4" w:rsidRDefault="007726A4" w:rsidP="00B405D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уточнить содержание понятия «оценивание грамотности» в современном языковом образовании;</w:t>
      </w:r>
    </w:p>
    <w:p w14:paraId="25B315B7" w14:textId="77777777" w:rsidR="007726A4" w:rsidRPr="007726A4" w:rsidRDefault="007726A4" w:rsidP="00B405D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проанализировать цифровые инструменты оценивания читательской, письменной и коммуникативной грамотности;</w:t>
      </w:r>
    </w:p>
    <w:p w14:paraId="6254CAC5" w14:textId="77777777" w:rsidR="007726A4" w:rsidRPr="007726A4" w:rsidRDefault="007726A4" w:rsidP="00B405D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представить результаты исследования, отражающие практику использования цифровых решений учителями английского, русского и казахского языков;</w:t>
      </w:r>
    </w:p>
    <w:p w14:paraId="69F3D7BB" w14:textId="77777777" w:rsidR="007726A4" w:rsidRPr="007726A4" w:rsidRDefault="007726A4" w:rsidP="00B405D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определить методические условия эффективного внедрения цифрового оценивания в практике языкового образования.</w:t>
      </w:r>
    </w:p>
    <w:p w14:paraId="4AA81DEA" w14:textId="77777777" w:rsidR="007726A4" w:rsidRPr="007726A4" w:rsidRDefault="007726A4" w:rsidP="00B405D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проанализировать теоретические подходы к понятию «образовательные результаты» в условиях цифровизации;</w:t>
      </w:r>
    </w:p>
    <w:p w14:paraId="2E9072F3" w14:textId="77777777" w:rsidR="007726A4" w:rsidRPr="007726A4" w:rsidRDefault="007726A4" w:rsidP="00B405D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рассмотреть современные цифровые инструменты и технологии оценки образовательных достижений;</w:t>
      </w:r>
    </w:p>
    <w:p w14:paraId="76969F0E" w14:textId="77777777" w:rsidR="007726A4" w:rsidRPr="007726A4" w:rsidRDefault="007726A4" w:rsidP="00B405D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представить и проанализировать результаты эмпирического исследования;</w:t>
      </w:r>
    </w:p>
    <w:p w14:paraId="19C8447C" w14:textId="37878527" w:rsidR="007726A4" w:rsidRPr="007726A4" w:rsidRDefault="007726A4" w:rsidP="00B405D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определить перспективы и риски внедрения цифровых решений в систему оценивания.</w:t>
      </w:r>
    </w:p>
    <w:p w14:paraId="3F445AD2" w14:textId="77777777" w:rsidR="00095C99" w:rsidRPr="004C7F2F" w:rsidRDefault="00095C99" w:rsidP="00B405D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7F2F">
        <w:rPr>
          <w:rFonts w:ascii="Times New Roman" w:hAnsi="Times New Roman" w:cs="Times New Roman"/>
          <w:sz w:val="28"/>
          <w:szCs w:val="28"/>
        </w:rPr>
        <w:t>Образовательные результаты в современной педагогике рассматриваются как совокупность предметных, метапредметных и личностных достижений обучающихся. В рамках компетентностного подхода, подробно разработанного И. А. Зимней, результат образования понимается не как сумма усвоенных знаний, а как сформированность ключевых компетенций, включающих знания, умения, ценностные установки и опыт их применения в практической деятельности. По мнению исследователя, именно способность обучающегося использовать знания в реальных жизненных и профессиональных ситуациях является показателем качества образования, что предполагает смещение акцента с контроля знаний на оценку умений и навыков [2].</w:t>
      </w:r>
    </w:p>
    <w:p w14:paraId="2361A901" w14:textId="55C2C179" w:rsidR="00095C99" w:rsidRPr="00095C99" w:rsidRDefault="00095C99" w:rsidP="00B405D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095C99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Цифровизация образования расширяет возможности работы с образовательными результатами за счёт использования электронных журналов, платформ онлайн-обучения, автоматизированных систем тестирования и аналитических инструментов. Так, П. Блэк и Д. Уильям, исследуя влияние </w:t>
      </w:r>
      <w:r w:rsidR="00D829E9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критериального</w:t>
      </w:r>
      <w:r w:rsidRPr="00095C99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оценивания на учебные достижения, подчёркивают, что использование цифровых технологий позволяет сделать процесс оценивания более объективным, обеспечить своевременную обратную связь и активно вовлекать обучающихся в процессы самооценки и рефлексии, что в конечном итоге положительно сказывается на качестве обучения [3].</w:t>
      </w:r>
    </w:p>
    <w:p w14:paraId="4A24F50C" w14:textId="2D980376" w:rsidR="007726A4" w:rsidRPr="007726A4" w:rsidRDefault="00095C99" w:rsidP="00B405D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095C99">
        <w:rPr>
          <w:rFonts w:ascii="Times New Roman" w:eastAsia="Times New Roman" w:hAnsi="Times New Roman" w:cs="Times New Roman"/>
          <w:sz w:val="28"/>
          <w:szCs w:val="28"/>
          <w:lang w:eastAsia="ru-KZ"/>
        </w:rPr>
        <w:t>Особое значение в условиях цифровизации образования приобретает learning analytics — направление, связанное со сбором, анализом и интерпретацией данных об учебной деятельности обучающихся. Как отмечают Дж. Сименс и П. Лонг, аналитика учебных данных позволяет педагогам «проникать сквозь туман» образовательного процесса, принимать обоснованные педагогические решения, своевременно корректировать обучение и прогнозировать образовательные результаты на основе объективных данных [4].</w:t>
      </w:r>
    </w:p>
    <w:p w14:paraId="653B34DB" w14:textId="77777777" w:rsidR="007726A4" w:rsidRPr="007726A4" w:rsidRDefault="007726A4" w:rsidP="00B405D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К числу наиболее востребованных цифровых решений в работе с образовательными результатами относятся:</w:t>
      </w:r>
    </w:p>
    <w:p w14:paraId="2B679B8A" w14:textId="77777777" w:rsidR="007726A4" w:rsidRPr="007726A4" w:rsidRDefault="007726A4" w:rsidP="00B405D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Системы электронного оценивания и тестирования (Google Forms, Moodle, Classtime и др.), обеспечивающие автоматическую проверку, статистический анализ и визуализацию результатов.</w:t>
      </w:r>
    </w:p>
    <w:p w14:paraId="40C6B8C7" w14:textId="77777777" w:rsidR="007726A4" w:rsidRPr="007726A4" w:rsidRDefault="007726A4" w:rsidP="00B405D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Цифровые образовательные платформы, интегрирующие оценивание «для обучения» (Assessment for Learning) и «как обучение» (Assessment as Learning) через интерактивные задания, рубрики и чек-листы.</w:t>
      </w:r>
    </w:p>
    <w:p w14:paraId="22AB7440" w14:textId="77777777" w:rsidR="007726A4" w:rsidRPr="007726A4" w:rsidRDefault="007726A4" w:rsidP="00B405D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Электронные портфолио обучающихся, позволяющие накапливать и анализировать индивидуальные достижения, отслеживать прогресс и формировать навыки самооценки.</w:t>
      </w:r>
    </w:p>
    <w:p w14:paraId="26977971" w14:textId="77777777" w:rsidR="007726A4" w:rsidRPr="007726A4" w:rsidRDefault="007726A4" w:rsidP="00B405D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Аналитические панели (dashboards), предоставляющие педагогам и администрации данные о результатах обучения в реальном времени.</w:t>
      </w:r>
    </w:p>
    <w:p w14:paraId="4794F547" w14:textId="6F885C49" w:rsidR="007726A4" w:rsidRPr="007726A4" w:rsidRDefault="00095C99" w:rsidP="00B405D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C7F2F">
        <w:rPr>
          <w:rFonts w:ascii="Times New Roman" w:hAnsi="Times New Roman" w:cs="Times New Roman"/>
          <w:sz w:val="28"/>
          <w:szCs w:val="28"/>
        </w:rPr>
        <w:t xml:space="preserve">Использование цифровых инструментов оценивания, по мнению </w:t>
      </w:r>
      <w:r w:rsidRPr="004C7F2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К.</w:t>
      </w:r>
      <w:r w:rsidRPr="004C7F2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C7F2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Редекер — эксперта Европейской комиссии в области цифрового образования и одного из разработчиков рамки цифровой компетентности педагогов DigCompEdu</w:t>
      </w:r>
      <w:r w:rsidRPr="004C7F2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C7F2F">
        <w:rPr>
          <w:rFonts w:ascii="Times New Roman" w:hAnsi="Times New Roman" w:cs="Times New Roman"/>
          <w:sz w:val="28"/>
          <w:szCs w:val="28"/>
        </w:rPr>
        <w:t xml:space="preserve"> способствует формированию прозрачной системы оценивания, усилению формативной функции оценки и поддержке дифференцированного обучения. В рамках модели DigCompEdu автор подчёркивает, что эффективное применение цифровых решений в оценивании возможно лишь при наличии у учителей развитой цифровой и оценочной грамотности [5]. Вместе с тем </w:t>
      </w:r>
      <w:r w:rsidRPr="004C7F2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Н. Селвин — профессор образования и признанный исследователь проблем взаимодействия образования и цифровых технологий</w:t>
      </w:r>
      <w:r w:rsidRPr="004C7F2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C7F2F">
        <w:rPr>
          <w:rFonts w:ascii="Times New Roman" w:hAnsi="Times New Roman" w:cs="Times New Roman"/>
          <w:sz w:val="28"/>
          <w:szCs w:val="28"/>
        </w:rPr>
        <w:t xml:space="preserve"> обращает внимание на то, что расширение использования образовательных данных требует целенаправленной методической подготовки педагогов, а также строгого соблюдения этических принципов, связанных с конфиденциальностью, ответственным использованием и интерпретацией данных обучающихся [6].</w:t>
      </w:r>
    </w:p>
    <w:p w14:paraId="679AD850" w14:textId="17EAA777" w:rsidR="007726A4" w:rsidRPr="007726A4" w:rsidRDefault="007726A4" w:rsidP="00B405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Эмпирическое исследование было проведено в 2025 году в рамках курсов повышения квалификации педагогов, реализуемых институтом повышения квалификации </w:t>
      </w:r>
      <w:r w:rsidR="004C7F2F" w:rsidRPr="004C7F2F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Северо-Казахстанской области</w:t>
      </w: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В исследовании приняли участие 78 учителей языковых дисциплин, из них: учителя английского языка — 28 человек, русского языка — 25 человек, казахского языка — 25 человек. Все </w:t>
      </w: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респонденты имели педагогический стаж от 3 до 25 лет и проходили обучение по программам, включающим модуль по оцениванию образовательных результатов в цифровой среде.</w:t>
      </w:r>
    </w:p>
    <w:p w14:paraId="3A696ED2" w14:textId="653F1730" w:rsidR="007726A4" w:rsidRDefault="007726A4" w:rsidP="00B405D8">
      <w:pPr>
        <w:tabs>
          <w:tab w:val="left" w:pos="5245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В качестве методов исследования использовались анкетирование, анализ педагогических продуктов (цифровые задания, рубрики, чек-листы, электронные формы оценивания), а также качественный анализ рефлексивных комментариев слушателей курсов. Анкета включала как закрытые, так и открытые вопросы, направленные на выявление частоты использования цифровых инструментов, их функционального назначения и воспринимаемой эффективности при оценивании различных видов грамотности.</w:t>
      </w:r>
    </w:p>
    <w:p w14:paraId="40697A6F" w14:textId="77777777" w:rsidR="004C7F2F" w:rsidRPr="007726A4" w:rsidRDefault="004C7F2F" w:rsidP="00B405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9CD4E7E" w14:textId="202748FD" w:rsidR="007726A4" w:rsidRPr="004C7F2F" w:rsidRDefault="007726A4" w:rsidP="00B405D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Таблица 1. Использование цифровых инструментов для оценивания грамотности учителями языков (в %)</w:t>
      </w:r>
    </w:p>
    <w:tbl>
      <w:tblPr>
        <w:tblStyle w:val="a9"/>
        <w:tblW w:w="9344" w:type="dxa"/>
        <w:tblLook w:val="04A0" w:firstRow="1" w:lastRow="0" w:firstColumn="1" w:lastColumn="0" w:noHBand="0" w:noVBand="1"/>
      </w:tblPr>
      <w:tblGrid>
        <w:gridCol w:w="2405"/>
        <w:gridCol w:w="2308"/>
        <w:gridCol w:w="2321"/>
        <w:gridCol w:w="2310"/>
      </w:tblGrid>
      <w:tr w:rsidR="004C7F2F" w:rsidRPr="004C7F2F" w14:paraId="17BBC728" w14:textId="77777777" w:rsidTr="004C7F2F">
        <w:tc>
          <w:tcPr>
            <w:tcW w:w="2336" w:type="dxa"/>
            <w:vAlign w:val="center"/>
          </w:tcPr>
          <w:p w14:paraId="09B590F5" w14:textId="070CB4E3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Вид грамотности</w:t>
            </w:r>
          </w:p>
        </w:tc>
        <w:tc>
          <w:tcPr>
            <w:tcW w:w="2336" w:type="dxa"/>
            <w:vAlign w:val="center"/>
          </w:tcPr>
          <w:p w14:paraId="1586BB28" w14:textId="0D8427EF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Регулярно используют цифровые инструменты</w:t>
            </w:r>
          </w:p>
        </w:tc>
        <w:tc>
          <w:tcPr>
            <w:tcW w:w="2336" w:type="dxa"/>
            <w:vAlign w:val="center"/>
          </w:tcPr>
          <w:p w14:paraId="6CC6B130" w14:textId="21FCA988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Отмечают повышение объективности оценивания</w:t>
            </w:r>
          </w:p>
        </w:tc>
        <w:tc>
          <w:tcPr>
            <w:tcW w:w="2336" w:type="dxa"/>
            <w:vAlign w:val="center"/>
          </w:tcPr>
          <w:p w14:paraId="1D887F77" w14:textId="7500989A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Испытывают методические затруднения</w:t>
            </w:r>
          </w:p>
        </w:tc>
      </w:tr>
      <w:tr w:rsidR="004C7F2F" w:rsidRPr="004C7F2F" w14:paraId="44725ACF" w14:textId="77777777" w:rsidTr="004C7F2F">
        <w:tc>
          <w:tcPr>
            <w:tcW w:w="2336" w:type="dxa"/>
            <w:vAlign w:val="center"/>
          </w:tcPr>
          <w:p w14:paraId="38E75C2E" w14:textId="32EB2FC0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Читательская</w:t>
            </w:r>
          </w:p>
        </w:tc>
        <w:tc>
          <w:tcPr>
            <w:tcW w:w="2336" w:type="dxa"/>
            <w:vAlign w:val="center"/>
          </w:tcPr>
          <w:p w14:paraId="1EC81AD1" w14:textId="0393B07F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79%</w:t>
            </w:r>
          </w:p>
        </w:tc>
        <w:tc>
          <w:tcPr>
            <w:tcW w:w="2336" w:type="dxa"/>
            <w:vAlign w:val="center"/>
          </w:tcPr>
          <w:p w14:paraId="7DB9900D" w14:textId="53E6A026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72%</w:t>
            </w:r>
          </w:p>
        </w:tc>
        <w:tc>
          <w:tcPr>
            <w:tcW w:w="2336" w:type="dxa"/>
            <w:vAlign w:val="center"/>
          </w:tcPr>
          <w:p w14:paraId="52D8318A" w14:textId="519AAB7E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58%</w:t>
            </w:r>
          </w:p>
        </w:tc>
      </w:tr>
      <w:tr w:rsidR="004C7F2F" w:rsidRPr="004C7F2F" w14:paraId="7C6D9D74" w14:textId="77777777" w:rsidTr="004C7F2F">
        <w:tc>
          <w:tcPr>
            <w:tcW w:w="2336" w:type="dxa"/>
            <w:vAlign w:val="center"/>
          </w:tcPr>
          <w:p w14:paraId="2B0FFB32" w14:textId="35B1EADF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Письменная</w:t>
            </w:r>
          </w:p>
        </w:tc>
        <w:tc>
          <w:tcPr>
            <w:tcW w:w="2336" w:type="dxa"/>
            <w:vAlign w:val="center"/>
          </w:tcPr>
          <w:p w14:paraId="1F246D15" w14:textId="058C4EA6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84%</w:t>
            </w:r>
          </w:p>
        </w:tc>
        <w:tc>
          <w:tcPr>
            <w:tcW w:w="2336" w:type="dxa"/>
            <w:vAlign w:val="center"/>
          </w:tcPr>
          <w:p w14:paraId="53796FC8" w14:textId="72B1DD6A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76%</w:t>
            </w:r>
          </w:p>
        </w:tc>
        <w:tc>
          <w:tcPr>
            <w:tcW w:w="2336" w:type="dxa"/>
            <w:vAlign w:val="center"/>
          </w:tcPr>
          <w:p w14:paraId="74C22B7D" w14:textId="2C8824AB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61%</w:t>
            </w:r>
          </w:p>
        </w:tc>
      </w:tr>
      <w:tr w:rsidR="004C7F2F" w:rsidRPr="004C7F2F" w14:paraId="527B027E" w14:textId="77777777" w:rsidTr="004C7F2F">
        <w:tc>
          <w:tcPr>
            <w:tcW w:w="2336" w:type="dxa"/>
            <w:vAlign w:val="center"/>
          </w:tcPr>
          <w:p w14:paraId="42B4D7FE" w14:textId="7DF38304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Коммуникативная</w:t>
            </w:r>
          </w:p>
        </w:tc>
        <w:tc>
          <w:tcPr>
            <w:tcW w:w="2336" w:type="dxa"/>
            <w:vAlign w:val="center"/>
          </w:tcPr>
          <w:p w14:paraId="2ECEFF0B" w14:textId="01F63AED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73%</w:t>
            </w:r>
          </w:p>
        </w:tc>
        <w:tc>
          <w:tcPr>
            <w:tcW w:w="2336" w:type="dxa"/>
            <w:vAlign w:val="center"/>
          </w:tcPr>
          <w:p w14:paraId="561B25AE" w14:textId="5E3F3CFC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70%</w:t>
            </w:r>
          </w:p>
        </w:tc>
        <w:tc>
          <w:tcPr>
            <w:tcW w:w="2336" w:type="dxa"/>
            <w:vAlign w:val="center"/>
          </w:tcPr>
          <w:p w14:paraId="6A81787F" w14:textId="3B1373CE" w:rsidR="004C7F2F" w:rsidRPr="004C7F2F" w:rsidRDefault="004C7F2F" w:rsidP="00B405D8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726A4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64%</w:t>
            </w:r>
          </w:p>
        </w:tc>
      </w:tr>
    </w:tbl>
    <w:p w14:paraId="69BED644" w14:textId="77777777" w:rsidR="004C7F2F" w:rsidRDefault="004C7F2F" w:rsidP="00B405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621EC3CE" w14:textId="4E7B42CF" w:rsidR="004C7F2F" w:rsidRPr="004C7F2F" w:rsidRDefault="004C7F2F" w:rsidP="00B405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C7F2F">
        <w:rPr>
          <w:rFonts w:ascii="Times New Roman" w:eastAsia="Times New Roman" w:hAnsi="Times New Roman" w:cs="Times New Roman"/>
          <w:sz w:val="28"/>
          <w:szCs w:val="28"/>
          <w:lang w:eastAsia="ru-KZ"/>
        </w:rPr>
        <w:t>Анализ количественных данных показал, что наибольшая степень внедрения цифровых инструментов наблюдается при оценивании письменной грамотности, что связано с возможностями автоматизированной проверки, использования рубрик и комментариев в электронном формате. В то же время оценивание коммуникативной грамотности вызывает у педагогов наибольшие методические затруднения, что объясняется необходимостью разработки чётких критериев и дескрипторов для устной речи и интеракции.</w:t>
      </w:r>
    </w:p>
    <w:p w14:paraId="514A9A8A" w14:textId="77777777" w:rsidR="004C7F2F" w:rsidRPr="004C7F2F" w:rsidRDefault="004C7F2F" w:rsidP="00B405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C7F2F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Качественный анализ ответов респондентов позволил выявить, что цифровые инструменты способствуют развитию оценочной грамотности </w:t>
      </w:r>
      <w:r w:rsidRPr="004C7F2F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учителей, формированию навыков анализа образовательных данных и осознанному использованию результатов оценивания для корректировки обучения. Вместе с тем педагоги отмечают потребность в дополнительных методических рекомендациях по интерпретации данных и проектированию заданий, направленных на оценивание функциональной и коммуникативной грамотности.</w:t>
      </w:r>
    </w:p>
    <w:p w14:paraId="0046CFEB" w14:textId="2B851A72" w:rsidR="004C7F2F" w:rsidRPr="004C7F2F" w:rsidRDefault="004C7F2F" w:rsidP="00B405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F2F">
        <w:rPr>
          <w:rFonts w:ascii="Times New Roman" w:hAnsi="Times New Roman" w:cs="Times New Roman"/>
          <w:sz w:val="28"/>
          <w:szCs w:val="28"/>
        </w:rPr>
        <w:t>Полученные результаты подтверждают выводы отечественных и зарубежных исследователей о высоком потенциале цифровых технологий в работе с образовательными результатами. Среди отечественных авторов К. Кусаинов и Г.Сулейменова отмечают значимость цифровых инструментов для повышения качества образовательного процесса в Казахстане.[</w:t>
      </w:r>
      <w:r w:rsidRPr="004C7F2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C7F2F">
        <w:rPr>
          <w:rFonts w:ascii="Times New Roman" w:hAnsi="Times New Roman" w:cs="Times New Roman"/>
          <w:sz w:val="28"/>
          <w:szCs w:val="28"/>
        </w:rPr>
        <w:t>].</w:t>
      </w:r>
      <w:r w:rsidRPr="004C7F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7F2F">
        <w:rPr>
          <w:rFonts w:ascii="Times New Roman" w:hAnsi="Times New Roman" w:cs="Times New Roman"/>
          <w:sz w:val="28"/>
          <w:szCs w:val="28"/>
        </w:rPr>
        <w:t xml:space="preserve"> Так, И. А. Зимняя подчёркивает развивающий характер оценивания в контексте компетентностного подхода, а П. Блэк и Д. Уильям рассматривают оценивание как инструмент поддержки обучения через формативную обратную связь. В свою очередь, Дж. Сименс указывает на возможности цифровых технологий и аналитики учебных данных в трансформации оценивания из преимущественно контролирующего механизма в средство развития и сопровождения обучения.</w:t>
      </w:r>
    </w:p>
    <w:p w14:paraId="1FBA7A45" w14:textId="690F052F" w:rsidR="007726A4" w:rsidRPr="007726A4" w:rsidRDefault="007726A4" w:rsidP="00B405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Вместе с тем эффективность внедрения инновационных технологий напрямую зависит от уровня профессиональной подготовки педагогов, наличия методического сопровождения и нормативной базы. Важно рассматривать цифровые инструменты не как самоцель, а как средство реализации педагогических задач и достижения образовательных результатов.</w:t>
      </w:r>
    </w:p>
    <w:p w14:paraId="7D6BE4A4" w14:textId="589C7374" w:rsidR="007726A4" w:rsidRPr="007726A4" w:rsidRDefault="007726A4" w:rsidP="00B405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sz w:val="28"/>
          <w:szCs w:val="28"/>
          <w:lang w:eastAsia="ru-KZ"/>
        </w:rPr>
        <w:t>В заключение можно отметить, что дальнейшие исследования целесообразно направить на изучение влияния learning analytics на индивидуализацию обучения и академическую успешность обучающихся, а также на разработку практико-ориентированных моделей цифрового оценивания.</w:t>
      </w:r>
    </w:p>
    <w:p w14:paraId="733209C5" w14:textId="77777777" w:rsidR="004C7F2F" w:rsidRDefault="004C7F2F" w:rsidP="00B405D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</w:p>
    <w:p w14:paraId="2F2F6E86" w14:textId="592ECB17" w:rsidR="007726A4" w:rsidRPr="007726A4" w:rsidRDefault="007726A4" w:rsidP="00B405D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7726A4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Список литературы</w:t>
      </w:r>
    </w:p>
    <w:p w14:paraId="49AFE9C3" w14:textId="3AF7B9E9" w:rsidR="007726A4" w:rsidRPr="00B405D8" w:rsidRDefault="007726A4" w:rsidP="00B405D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Токаев К</w:t>
      </w:r>
      <w:r w:rsidR="00D829E9" w:rsidRPr="00B405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>-Ж</w:t>
      </w:r>
      <w:r w:rsidR="00D829E9" w:rsidRPr="00B405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К. Послание Президента Республики Казахстан народу Казахстана «Справедливый Казахстан: закон и порядок, экономический рост, общественный оптимизм». – Астана, 2024.</w:t>
      </w:r>
    </w:p>
    <w:p w14:paraId="7CA7CAEF" w14:textId="77777777" w:rsidR="007726A4" w:rsidRPr="00B405D8" w:rsidRDefault="007726A4" w:rsidP="00B405D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>Зимняя И. А. Ключевые компетенции как результативно-целевая основа компетентностного подхода в образовании. – М.: Исследовательский центр проблем качества подготовки специалистов, 2004.</w:t>
      </w:r>
    </w:p>
    <w:p w14:paraId="4C211EA5" w14:textId="77777777" w:rsidR="007726A4" w:rsidRPr="00B405D8" w:rsidRDefault="007726A4" w:rsidP="00B405D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>Black P., Wiliam D. Assessment and classroom learning // Assessment in Education. – 1998. – Vol. 5(1). – P. 7–74.</w:t>
      </w:r>
    </w:p>
    <w:p w14:paraId="2DA18878" w14:textId="77777777" w:rsidR="007726A4" w:rsidRPr="00B405D8" w:rsidRDefault="007726A4" w:rsidP="00B405D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>Siemens G., Long P. Penetrating the fog: Analytics in learning and education // EDUCAUSE Review. – 2011. – Vol. 46(5). – P. 30–40.</w:t>
      </w:r>
    </w:p>
    <w:p w14:paraId="28FD25FB" w14:textId="77777777" w:rsidR="007726A4" w:rsidRPr="00B405D8" w:rsidRDefault="007726A4" w:rsidP="00B405D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>Redecker C. European Framework for the Digital Competence of Educators: DigCompEdu. – Luxembourg: Publications Office of the European Union, 2017.</w:t>
      </w:r>
    </w:p>
    <w:p w14:paraId="12A6E57A" w14:textId="61ADB14B" w:rsidR="007726A4" w:rsidRPr="00B405D8" w:rsidRDefault="007726A4" w:rsidP="00B405D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405D8">
        <w:rPr>
          <w:rFonts w:ascii="Times New Roman" w:eastAsia="Times New Roman" w:hAnsi="Times New Roman" w:cs="Times New Roman"/>
          <w:sz w:val="24"/>
          <w:szCs w:val="24"/>
          <w:lang w:eastAsia="ru-KZ"/>
        </w:rPr>
        <w:t>Selwyn N. Education and Technology: Key Issues and Debates. – London: Bloomsbury, 2016.</w:t>
      </w:r>
    </w:p>
    <w:p w14:paraId="132AEB9A" w14:textId="37B92E88" w:rsidR="004C7F2F" w:rsidRPr="00B405D8" w:rsidRDefault="004C7F2F" w:rsidP="00B405D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405D8">
        <w:rPr>
          <w:rFonts w:ascii="Times New Roman" w:hAnsi="Times New Roman" w:cs="Times New Roman"/>
          <w:sz w:val="24"/>
          <w:szCs w:val="24"/>
        </w:rPr>
        <w:t>Кусаинов К., Сулейменова Г. Цифровизация образовательного процесса и оценивание результатов обучения в системе повышения квалификации педагогов. – Алматы: Казахский национальный университет, 2021.</w:t>
      </w:r>
    </w:p>
    <w:p w14:paraId="5257BC0E" w14:textId="77777777" w:rsidR="00443BD6" w:rsidRPr="00095C99" w:rsidRDefault="00443BD6" w:rsidP="00B40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3BD6" w:rsidRPr="00095C99" w:rsidSect="00B405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A314D"/>
    <w:multiLevelType w:val="multilevel"/>
    <w:tmpl w:val="1964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E691B"/>
    <w:multiLevelType w:val="hybridMultilevel"/>
    <w:tmpl w:val="35B00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6402F"/>
    <w:multiLevelType w:val="multilevel"/>
    <w:tmpl w:val="3C7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E3E1E"/>
    <w:multiLevelType w:val="multilevel"/>
    <w:tmpl w:val="A7F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24FDB"/>
    <w:multiLevelType w:val="multilevel"/>
    <w:tmpl w:val="B4D0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82"/>
    <w:rsid w:val="00095C99"/>
    <w:rsid w:val="000C4A62"/>
    <w:rsid w:val="00443BD6"/>
    <w:rsid w:val="004C7F2F"/>
    <w:rsid w:val="007726A4"/>
    <w:rsid w:val="007A3C9C"/>
    <w:rsid w:val="00B405D8"/>
    <w:rsid w:val="00D65882"/>
    <w:rsid w:val="00D8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D258"/>
  <w15:chartTrackingRefBased/>
  <w15:docId w15:val="{76FEC5DB-1477-4001-9A4C-214A0B50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C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2">
    <w:name w:val="heading 2"/>
    <w:basedOn w:val="a"/>
    <w:link w:val="20"/>
    <w:uiPriority w:val="9"/>
    <w:qFormat/>
    <w:rsid w:val="007A3C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paragraph" w:styleId="3">
    <w:name w:val="heading 3"/>
    <w:basedOn w:val="a"/>
    <w:link w:val="30"/>
    <w:uiPriority w:val="9"/>
    <w:qFormat/>
    <w:rsid w:val="007A3C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C9C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7A3C9C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7A3C9C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7A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7A3C9C"/>
    <w:rPr>
      <w:b/>
      <w:bCs/>
    </w:rPr>
  </w:style>
  <w:style w:type="character" w:styleId="a5">
    <w:name w:val="Emphasis"/>
    <w:basedOn w:val="a0"/>
    <w:uiPriority w:val="20"/>
    <w:qFormat/>
    <w:rsid w:val="007A3C9C"/>
    <w:rPr>
      <w:i/>
      <w:iCs/>
    </w:rPr>
  </w:style>
  <w:style w:type="paragraph" w:styleId="a6">
    <w:name w:val="List Paragraph"/>
    <w:basedOn w:val="a"/>
    <w:uiPriority w:val="34"/>
    <w:qFormat/>
    <w:rsid w:val="000C4A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C4A6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C4A62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4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3</cp:revision>
  <dcterms:created xsi:type="dcterms:W3CDTF">2026-01-16T04:17:00Z</dcterms:created>
  <dcterms:modified xsi:type="dcterms:W3CDTF">2026-01-16T05:56:00Z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514c59b4-7fb8-4bbb-a1ba-bb9c1c6a9096</vt:lpwstr>
  </property>
</Properties>
</file>